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72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附件：</w:t>
      </w:r>
      <w:bookmarkStart w:id="1" w:name="_GoBack"/>
      <w:bookmarkEnd w:id="1"/>
    </w:p>
    <w:p>
      <w:pPr>
        <w:spacing w:line="360" w:lineRule="auto"/>
        <w:ind w:right="720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30"/>
          <w:szCs w:val="30"/>
        </w:rPr>
        <w:t>年度中国海洋大学本科教育教学研究重点项目立项名单</w:t>
      </w:r>
    </w:p>
    <w:p>
      <w:pPr>
        <w:spacing w:line="360" w:lineRule="auto"/>
        <w:ind w:right="720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3"/>
        <w:tblW w:w="95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947"/>
        <w:gridCol w:w="2141"/>
        <w:gridCol w:w="97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项目承担单位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OLE_LINK1" w:colFirst="1" w:colLast="3"/>
            <w:r>
              <w:rPr>
                <w:rFonts w:hint="eastAsia" w:ascii="仿宋" w:hAnsi="仿宋" w:eastAsia="仿宋" w:cs="仿宋"/>
                <w:sz w:val="24"/>
                <w:szCs w:val="24"/>
              </w:rPr>
              <w:t>2020ZD01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基于多元评价体系的高阶性通识课程建设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海洋与大气学院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赵传湖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2020ZD02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面向拔尖人才培养的大学物理“项目教学法”的探索与实践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师玉荣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2020ZD03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STSE教育理念下物理化学实验贯通化开放式改革探索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苓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2020ZD04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课程思政理念下的《生物统计学》课程建设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海洋生命学院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李岿然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2020ZD05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以德育培养为引领，能力培养为导向的药理学实验线上线下混合式教学模式探索和实践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  欣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2020ZD06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基于“创造有意义的学习经历”理论实践天然药物化学课程多维度综合设计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乂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2020ZD07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金融学CFA实验班产学研协同育人培养模式设计与实践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昕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2020ZD08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国际化英语人才培养模式的探索与实践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贺爱军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2020ZD09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基于CIPP的混合“金课”评价体系构建研究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玮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2020ZD10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公共事业管理专业课程思政整体性推进路径研究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国际事务与公共管理学院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一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2020ZD11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虚实结合高分子化学实验体系构建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玥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2020ZD12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新工科背景下通识课程《高等数学实验》建设与教学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陈丕炜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2020ZD13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新时代爱国主义教育思政选修类在线开放课程群建设与应用研究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王付欣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2020ZD14</w:t>
            </w:r>
          </w:p>
        </w:tc>
        <w:tc>
          <w:tcPr>
            <w:tcW w:w="394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海权特色军事理论课程建设的探索与实践</w:t>
            </w:r>
          </w:p>
        </w:tc>
        <w:tc>
          <w:tcPr>
            <w:tcW w:w="21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尹</w:t>
            </w:r>
          </w:p>
        </w:tc>
        <w:tc>
          <w:tcPr>
            <w:tcW w:w="1222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重点资助</w:t>
            </w:r>
          </w:p>
        </w:tc>
      </w:tr>
      <w:bookmarkEnd w:id="0"/>
    </w:tbl>
    <w:p>
      <w:pPr>
        <w:spacing w:line="360" w:lineRule="auto"/>
        <w:ind w:right="720"/>
        <w:rPr>
          <w:rFonts w:hint="eastAsia" w:ascii="宋体" w:hAnsi="宋体"/>
          <w:b/>
          <w:sz w:val="20"/>
          <w:szCs w:val="20"/>
        </w:rPr>
      </w:pPr>
    </w:p>
    <w:p/>
    <w:sectPr>
      <w:footerReference r:id="rId3" w:type="default"/>
      <w:footerReference r:id="rId4" w:type="even"/>
      <w:pgSz w:w="11906" w:h="16838"/>
      <w:pgMar w:top="1440" w:right="1134" w:bottom="567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宋体W12">
    <w:panose1 w:val="02020C09000000000000"/>
    <w:charset w:val="86"/>
    <w:family w:val="auto"/>
    <w:pitch w:val="default"/>
    <w:sig w:usb0="8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0F24"/>
    <w:rsid w:val="3FC30F24"/>
    <w:rsid w:val="619459AE"/>
    <w:rsid w:val="6A2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2020-04-16T06:06:00Z</dcterms:created>
  <dc:creator>徐雅颖</dc:creator>
  <cp:lastModifiedBy>徐雅颖</cp:lastModifiedBy>
  <dcterms:modified xsi:type="dcterms:W3CDTF">2020-04-16T06:10:06Z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