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50"/>
        <w:jc w:val="center"/>
        <w:rPr>
          <w:rFonts w:ascii="Tahoma" w:hAnsi="Tahoma" w:eastAsia="宋体" w:cs="Tahoma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华文中宋" w:hAnsi="华文中宋" w:eastAsia="华文中宋" w:cs="Tahoma"/>
          <w:color w:val="333333"/>
          <w:kern w:val="0"/>
          <w:sz w:val="36"/>
          <w:szCs w:val="36"/>
        </w:rPr>
        <w:t>中国海洋大学关于本科学生结业后返校重考的规定</w:t>
      </w:r>
    </w:p>
    <w:p>
      <w:pPr>
        <w:widowControl/>
        <w:shd w:val="clear" w:color="auto" w:fill="FFFFFF"/>
        <w:spacing w:before="100" w:beforeAutospacing="1" w:after="150"/>
        <w:jc w:val="center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楷体_gb2312" w:hAnsi="Tahoma" w:eastAsia="楷体_gb2312" w:cs="Tahoma"/>
          <w:color w:val="333333"/>
          <w:kern w:val="0"/>
          <w:sz w:val="36"/>
          <w:szCs w:val="36"/>
        </w:rPr>
        <w:t>（</w:t>
      </w:r>
      <w:r>
        <w:rPr>
          <w:rFonts w:ascii="Times New Roman" w:hAnsi="Times New Roman" w:eastAsia="宋体" w:cs="Times New Roman"/>
          <w:color w:val="333333"/>
          <w:kern w:val="0"/>
          <w:sz w:val="36"/>
          <w:szCs w:val="36"/>
        </w:rPr>
        <w:t>2015-1-5</w:t>
      </w:r>
      <w:r>
        <w:rPr>
          <w:rFonts w:hint="eastAsia" w:ascii="楷体_gb2312" w:hAnsi="Tahoma" w:eastAsia="楷体_gb2312" w:cs="Tahoma"/>
          <w:color w:val="333333"/>
          <w:kern w:val="0"/>
          <w:sz w:val="36"/>
          <w:szCs w:val="36"/>
        </w:rPr>
        <w:t>）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第一条为进一步落实以学生为本的理念，根据教育部《普通高等学校学生管理规定》、《中国海洋大学全日制本科学生学籍管理规定》，制订此规定。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第二条符合结业条件的学生，可申请结业后返校重考。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第三条实验课、毕业论文（设计）、体育课及实习实训等无试卷考核的课程，不属于可申请返校重考的课程。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第四条重考课程的成绩以重考考试的原始卷面分数进行记载。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第五条经批准获得结业后返校重考资格的学生，须在结业后两年内返校参加其申请课程的重考，超过两年学校不再受理。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第六条返校重考申请由学生在每学期开学两周内提出。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第七条重考安排在学期末随学校开设课程期末考试同时进行。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第八条参加结业后返校重考的学生，在考试中有违纪或作弊行为的，取消结业返校重考资格。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第九条参加结业后返校重考的学生，不得申请缓考和补考。</w:t>
      </w:r>
    </w:p>
    <w:p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十条结业学生参加结业后返校重考，成绩合格，符合本科毕业要求的，学校为其换发本科毕业证书，毕业时间按发证日期填写；符合学士学位授予条件且完成学位授予审核程序的，学校为其颁发学士学位证书，学位授予时间按发证日期填写。</w:t>
      </w:r>
    </w:p>
    <w:p>
      <w:pPr>
        <w:widowControl/>
        <w:shd w:val="clear" w:color="auto" w:fill="FFFFFF"/>
        <w:spacing w:line="525" w:lineRule="atLeast"/>
        <w:ind w:left="465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第十一条本规定由教务处负责解释。</w:t>
      </w:r>
    </w:p>
    <w:p>
      <w:pPr>
        <w:widowControl/>
        <w:shd w:val="clear" w:color="auto" w:fill="FFFFFF"/>
        <w:spacing w:line="525" w:lineRule="atLeast"/>
        <w:ind w:left="465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第十二条本规定自公布之日起施行，原海大教字〔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2008</w:t>
      </w: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94</w:t>
      </w:r>
      <w:r>
        <w:rPr>
          <w:rFonts w:hint="eastAsia" w:ascii="仿宋_gb2312" w:hAnsi="Tahoma" w:eastAsia="仿宋_gb2312" w:cs="Tahoma"/>
          <w:color w:val="333333"/>
          <w:kern w:val="0"/>
          <w:sz w:val="28"/>
          <w:szCs w:val="28"/>
        </w:rPr>
        <w:t>号同时废止。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87"/>
    <w:rsid w:val="003A44FC"/>
    <w:rsid w:val="00877B87"/>
    <w:rsid w:val="008F2D6B"/>
    <w:rsid w:val="00C46FDB"/>
    <w:rsid w:val="2C4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2016-08-15T01:54:00Z</dcterms:created>
  <dc:creator>lenovo</dc:creator>
  <cp:lastModifiedBy>lenovo</cp:lastModifiedBy>
  <dcterms:modified xsi:type="dcterms:W3CDTF">2017-08-19T07:17:23Z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