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eastAsia="宋体"/>
          <w:kern w:val="0"/>
          <w:szCs w:val="32"/>
        </w:rPr>
      </w:pPr>
      <w:r>
        <w:rPr>
          <w:rFonts w:eastAsia="宋体"/>
          <w:kern w:val="0"/>
          <w:szCs w:val="32"/>
        </w:rPr>
        <w:t>中国海洋大学本科生课程大纲</w:t>
      </w:r>
    </w:p>
    <w:p>
      <w:pPr>
        <w:widowControl/>
        <w:spacing w:line="400" w:lineRule="exact"/>
        <w:rPr>
          <w:rFonts w:eastAsia="宋体"/>
          <w:kern w:val="0"/>
          <w:sz w:val="28"/>
          <w:szCs w:val="28"/>
        </w:rPr>
      </w:pPr>
    </w:p>
    <w:tbl>
      <w:tblPr>
        <w:tblStyle w:val="5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110"/>
        <w:gridCol w:w="1531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饮食文化概论与实践</w:t>
            </w:r>
          </w:p>
          <w:p>
            <w:pPr>
              <w:snapToGrid w:val="0"/>
              <w:spacing w:line="400" w:lineRule="exact"/>
              <w:rPr>
                <w:rFonts w:hint="eastAsia"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Introduction and practice of food culture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课程代码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课程属性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通识教育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课时/学分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16</w:t>
            </w:r>
            <w:r>
              <w:rPr>
                <w:rFonts w:hint="eastAsia" w:eastAsia="宋体"/>
                <w:sz w:val="28"/>
                <w:szCs w:val="28"/>
              </w:rPr>
              <w:t>/</w:t>
            </w: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课程性质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选修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实践学时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责任教师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 xml:space="preserve">李永贵 </w:t>
            </w:r>
            <w:r>
              <w:rPr>
                <w:rFonts w:eastAsia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宋体"/>
                <w:b/>
                <w:sz w:val="28"/>
                <w:szCs w:val="28"/>
              </w:rPr>
              <w:t>（后勤保障处）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课外学时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2" w:firstLineChars="200"/>
        <w:rPr>
          <w:rFonts w:eastAsia="宋体"/>
          <w:color w:val="000000"/>
          <w:sz w:val="28"/>
          <w:szCs w:val="28"/>
        </w:rPr>
      </w:pPr>
      <w:r>
        <w:rPr>
          <w:rFonts w:eastAsia="宋体"/>
          <w:b/>
          <w:color w:val="000000"/>
          <w:sz w:val="28"/>
          <w:szCs w:val="28"/>
        </w:rPr>
        <w:t>课程属性：</w:t>
      </w:r>
      <w:r>
        <w:rPr>
          <w:rFonts w:eastAsia="宋体"/>
          <w:color w:val="000000"/>
          <w:sz w:val="28"/>
          <w:szCs w:val="28"/>
        </w:rPr>
        <w:t>公共基础/通识教育/学科基础/专业知识/工作技能，课程性质：必修、选修</w:t>
      </w:r>
    </w:p>
    <w:p>
      <w:pPr>
        <w:spacing w:line="400" w:lineRule="exact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一、 课程介绍</w:t>
      </w:r>
    </w:p>
    <w:p>
      <w:pPr>
        <w:spacing w:line="400" w:lineRule="exact"/>
        <w:ind w:firstLine="281" w:firstLineChars="100"/>
        <w:rPr>
          <w:rFonts w:eastAsia="宋体"/>
          <w:color w:val="FF0000"/>
          <w:sz w:val="28"/>
          <w:szCs w:val="28"/>
        </w:rPr>
      </w:pPr>
      <w:r>
        <w:rPr>
          <w:rFonts w:eastAsia="宋体"/>
          <w:b/>
          <w:sz w:val="28"/>
          <w:szCs w:val="28"/>
        </w:rPr>
        <w:t>1.</w:t>
      </w:r>
      <w:r>
        <w:rPr>
          <w:rFonts w:eastAsia="宋体"/>
          <w:sz w:val="28"/>
          <w:szCs w:val="28"/>
        </w:rPr>
        <w:t>课程描述：</w:t>
      </w:r>
      <w:r>
        <w:rPr>
          <w:rFonts w:eastAsia="宋体"/>
          <w:color w:val="FF0000"/>
          <w:sz w:val="28"/>
          <w:szCs w:val="28"/>
        </w:rPr>
        <w:t xml:space="preserve"> </w:t>
      </w:r>
    </w:p>
    <w:p>
      <w:pPr>
        <w:spacing w:line="400" w:lineRule="exact"/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有着五千年文明古国美誉的中国，饮食文化的历史源远流长，博大精深，在几千年的历史长河中，已成为中国传统文化的一个重要组成部分，在长期的发展、演变和积累过程中，中国人从饮食结构、食物制作，食物器具、营养保健和饮食审美等方面逐渐形成了自己独特的饮食民俗，最终创造了具有独特风味的中国饮食文化，成为世界饮食文化宝库中的一颗璀璨的明珠，而中国饮食文化也在逐渐影响着西方的一些国家的饮食文化，逐渐渗透融合、博采众长，形成精巧专维、自成体系的饮食文明。</w:t>
      </w:r>
    </w:p>
    <w:p>
      <w:pPr>
        <w:spacing w:line="400" w:lineRule="exact"/>
        <w:ind w:firstLine="256"/>
        <w:rPr>
          <w:rFonts w:eastAsia="宋体"/>
          <w:sz w:val="28"/>
          <w:szCs w:val="28"/>
        </w:rPr>
      </w:pPr>
      <w:r>
        <w:rPr>
          <w:rFonts w:eastAsia="宋体"/>
          <w:b/>
          <w:sz w:val="28"/>
          <w:szCs w:val="28"/>
        </w:rPr>
        <w:t>2.</w:t>
      </w:r>
      <w:r>
        <w:rPr>
          <w:rFonts w:hint="eastAsia" w:eastAsia="宋体"/>
          <w:b/>
          <w:sz w:val="28"/>
          <w:szCs w:val="28"/>
        </w:rPr>
        <w:t>教学方式和方法：</w:t>
      </w:r>
    </w:p>
    <w:p>
      <w:pPr>
        <w:spacing w:line="400" w:lineRule="exact"/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讲授法：以专家授课为主，重点讲解中国饮食文化富有代表意义和使用价值的内容。</w:t>
      </w:r>
    </w:p>
    <w:p>
      <w:pPr>
        <w:spacing w:line="400" w:lineRule="exact"/>
        <w:ind w:firstLine="620" w:firstLineChars="200"/>
        <w:rPr>
          <w:rFonts w:eastAsia="宋体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直观演示法和练习法：每个专题授课后，邀请2-3位实训专家围绕专题内容进行实操演练，并与学生互动。</w:t>
      </w:r>
    </w:p>
    <w:p>
      <w:pPr>
        <w:spacing w:line="400" w:lineRule="exact"/>
        <w:ind w:firstLine="256"/>
        <w:rPr>
          <w:rFonts w:eastAsia="宋体"/>
          <w:b/>
          <w:sz w:val="28"/>
          <w:szCs w:val="28"/>
        </w:rPr>
      </w:pPr>
      <w:r>
        <w:rPr>
          <w:rFonts w:hint="eastAsia" w:eastAsia="宋体"/>
          <w:b/>
          <w:sz w:val="28"/>
          <w:szCs w:val="28"/>
        </w:rPr>
        <w:t>3. 课程特色：</w:t>
      </w:r>
    </w:p>
    <w:p>
      <w:pPr>
        <w:spacing w:line="400" w:lineRule="exact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（1）传统饮食民俗、饮食文化演变、饮食营养健康、传统烹食方法、中餐筵席以及茶文化、酒文化等相关概念的阐述，弘扬了中华饮食文化的优良传统，有助于学生扩宽眼界，增强民族自豪感。</w:t>
      </w:r>
    </w:p>
    <w:p>
      <w:pPr>
        <w:spacing w:line="400" w:lineRule="exact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（2）授课过程可结合生活饮食实际进行拓展和归纳,展现丰富多样的饮食文化。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（3）实训授课教师可提高学生在教学中的参与度,不仅能够激发学生的学习热情,还能够提高教学质量。</w:t>
      </w:r>
    </w:p>
    <w:p>
      <w:pPr>
        <w:tabs>
          <w:tab w:val="left" w:pos="3371"/>
        </w:tabs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ab/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（4）学生通过对饮食文化的深入了解，“光盘行动”活动实施，“拒绝舌尖上的浪费”。</w:t>
      </w:r>
    </w:p>
    <w:p>
      <w:pPr>
        <w:spacing w:line="400" w:lineRule="exact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二、课程目标</w:t>
      </w:r>
    </w:p>
    <w:p>
      <w:pPr>
        <w:spacing w:line="400" w:lineRule="exact"/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本课程是为全校学生开设的提高传统文化修养的一门课程，旨在通过系统的介绍中国的饮食历史、饮食特征和饮食观念，让学生多视角、多形式对中国饮食文化的特点和饮食文化的多元性，引导学生了解饮食与民族文化的关系，深化对中国传统文化的认识，拓展文化视野，提高文化素养。</w:t>
      </w:r>
    </w:p>
    <w:p>
      <w:pPr>
        <w:spacing w:line="400" w:lineRule="exact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三、学习要求</w:t>
      </w:r>
    </w:p>
    <w:p>
      <w:pPr>
        <w:spacing w:line="400" w:lineRule="exact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eastAsia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要求学生预先查阅专题报告内容，带着问题进课堂。专家讲课环节要求学生认真听讲并记录感兴趣的问题和知识点。讨论环节要求学生积极参与课堂互动，从中体验学习交流的氛围和方式，锻炼思维能力。实训环节将更强调学生的参与式学习， 直接观察老师的演示来获得一定的感性知识,以加深对知识的理解,同时获得正确操作视觉形象的一种重要学习方式。</w:t>
      </w:r>
    </w:p>
    <w:p>
      <w:pPr>
        <w:spacing w:line="400" w:lineRule="exact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四、参考教材与主要参考书</w:t>
      </w:r>
    </w:p>
    <w:p>
      <w:pPr>
        <w:tabs>
          <w:tab w:val="left" w:pos="948"/>
        </w:tabs>
        <w:spacing w:line="400" w:lineRule="exact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1.金洪霞，赵建民：《中国饮食文化概论（第二版）》，中国轻工业出版社，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2019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年；</w:t>
      </w:r>
    </w:p>
    <w:p>
      <w:pPr>
        <w:tabs>
          <w:tab w:val="left" w:pos="948"/>
        </w:tabs>
        <w:spacing w:line="400" w:lineRule="exact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2.刘定梅：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营养学基础（第三版）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》，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科学出版社有限责任公司，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2020年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；</w:t>
      </w:r>
    </w:p>
    <w:p>
      <w:pPr>
        <w:tabs>
          <w:tab w:val="left" w:pos="948"/>
        </w:tabs>
        <w:spacing w:line="400" w:lineRule="exact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3.张荣春，颜忠，史红根：《中式烹调工艺与实训》，旅游教育出版社，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2018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年；</w:t>
      </w:r>
    </w:p>
    <w:p>
      <w:pPr>
        <w:tabs>
          <w:tab w:val="left" w:pos="948"/>
        </w:tabs>
        <w:spacing w:line="400" w:lineRule="exact"/>
        <w:rPr>
          <w:rFonts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4.邵万宽：《中国面点文化》，东南大学出版社，20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14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年。</w:t>
      </w:r>
    </w:p>
    <w:p>
      <w:pPr>
        <w:spacing w:line="400" w:lineRule="exact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五、进度安排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65"/>
        <w:gridCol w:w="791"/>
        <w:gridCol w:w="1996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主题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计划课时</w:t>
            </w:r>
          </w:p>
        </w:tc>
        <w:tc>
          <w:tcPr>
            <w:tcW w:w="1996" w:type="dxa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b/>
                <w:color w:val="000000"/>
                <w:sz w:val="28"/>
                <w:szCs w:val="28"/>
              </w:rPr>
              <w:t>主题负责人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主要内容概述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绪论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1996" w:type="dxa"/>
          </w:tcPr>
          <w:p>
            <w:pPr>
              <w:spacing w:line="400" w:lineRule="exac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sz w:val="24"/>
              </w:rPr>
              <w:t>李永贵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1.饮食的起源与发展</w:t>
            </w:r>
          </w:p>
          <w:p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2.中国烹饪发展历史</w:t>
            </w:r>
          </w:p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3.中国饮食文化的分类与特点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烹调工艺实训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1996" w:type="dxa"/>
          </w:tcPr>
          <w:p>
            <w:pPr>
              <w:spacing w:line="400" w:lineRule="exac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饮食技师团队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菜肴烹饪、面食及特色小吃制作等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中国茶文化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1996" w:type="dxa"/>
          </w:tcPr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李永贵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中国茶文化历史及营养饮茶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4</w:t>
            </w:r>
          </w:p>
        </w:tc>
        <w:tc>
          <w:tcPr>
            <w:tcW w:w="1465" w:type="dxa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餐饮文化实训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1996" w:type="dxa"/>
          </w:tcPr>
          <w:p>
            <w:pPr>
              <w:spacing w:line="40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李永贵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茗茶品鉴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5</w:t>
            </w:r>
          </w:p>
        </w:tc>
        <w:tc>
          <w:tcPr>
            <w:tcW w:w="1465" w:type="dxa"/>
            <w:vAlign w:val="center"/>
          </w:tcPr>
          <w:p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中国饮食营养学和饮食审美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1996" w:type="dxa"/>
          </w:tcPr>
          <w:p>
            <w:pPr>
              <w:spacing w:line="400" w:lineRule="exac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李永贵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食品营养学、饮食审美和饮食文学赏析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6</w:t>
            </w:r>
          </w:p>
        </w:tc>
        <w:tc>
          <w:tcPr>
            <w:tcW w:w="1465" w:type="dxa"/>
            <w:vAlign w:val="center"/>
          </w:tcPr>
          <w:p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餐饮文化实训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1996" w:type="dxa"/>
          </w:tcPr>
          <w:p>
            <w:pPr>
              <w:spacing w:line="400" w:lineRule="exac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sz w:val="24"/>
              </w:rPr>
              <w:t>李永贵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“幸福便当”制作</w:t>
            </w:r>
          </w:p>
        </w:tc>
      </w:tr>
    </w:tbl>
    <w:p>
      <w:pPr>
        <w:spacing w:line="400" w:lineRule="exact"/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课程由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个理论专题和4个实训专题组成，每个实训专题是前期理论课程的实际运用。</w:t>
      </w:r>
    </w:p>
    <w:p>
      <w:pPr>
        <w:spacing w:line="400" w:lineRule="exact"/>
        <w:rPr>
          <w:rFonts w:eastAsia="宋体"/>
          <w:b/>
          <w:sz w:val="28"/>
          <w:szCs w:val="28"/>
        </w:rPr>
      </w:pPr>
      <w:r>
        <w:rPr>
          <w:rFonts w:hint="eastAsia" w:ascii="黑体" w:hAnsi="黑体" w:eastAsia="黑体" w:cs="黑体"/>
          <w:spacing w:val="15"/>
          <w:kern w:val="0"/>
          <w:sz w:val="28"/>
          <w:szCs w:val="28"/>
        </w:rPr>
        <w:t>*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注：专题后期还需根据专家上课顺序做出调整</w:t>
      </w:r>
      <w:r>
        <w:rPr>
          <w:rFonts w:hint="eastAsia" w:eastAsia="宋体"/>
          <w:b/>
          <w:sz w:val="28"/>
          <w:szCs w:val="28"/>
        </w:rPr>
        <w:t>。</w:t>
      </w:r>
    </w:p>
    <w:p>
      <w:pPr>
        <w:spacing w:line="400" w:lineRule="exact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六、成绩评定</w:t>
      </w:r>
    </w:p>
    <w:p>
      <w:pPr>
        <w:spacing w:line="40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（一）考核方式</w:t>
      </w:r>
      <w:r>
        <w:rPr>
          <w:rFonts w:eastAsia="宋体"/>
          <w:sz w:val="28"/>
          <w:szCs w:val="28"/>
          <w:u w:val="single"/>
        </w:rPr>
        <w:t xml:space="preserve">   </w:t>
      </w:r>
      <w:r>
        <w:rPr>
          <w:rFonts w:eastAsia="宋体"/>
          <w:b/>
          <w:sz w:val="28"/>
          <w:szCs w:val="28"/>
          <w:u w:val="single"/>
        </w:rPr>
        <w:t>D</w:t>
      </w:r>
      <w:r>
        <w:rPr>
          <w:rFonts w:eastAsia="宋体"/>
          <w:sz w:val="28"/>
          <w:szCs w:val="28"/>
          <w:u w:val="single"/>
        </w:rPr>
        <w:t xml:space="preserve">   </w:t>
      </w:r>
      <w:r>
        <w:rPr>
          <w:rFonts w:eastAsia="宋体"/>
          <w:sz w:val="28"/>
          <w:szCs w:val="28"/>
        </w:rPr>
        <w:t>：A.闭卷考试 B.开卷考试 C.论文 D.考查 E.其他</w:t>
      </w:r>
    </w:p>
    <w:p>
      <w:pPr>
        <w:spacing w:line="400" w:lineRule="exact"/>
        <w:ind w:firstLine="560" w:firstLineChars="200"/>
        <w:rPr>
          <w:rFonts w:eastAsia="宋体"/>
          <w:b/>
          <w:color w:val="FF0000"/>
          <w:sz w:val="28"/>
          <w:szCs w:val="28"/>
        </w:rPr>
      </w:pPr>
      <w:r>
        <w:rPr>
          <w:rFonts w:eastAsia="宋体"/>
          <w:sz w:val="28"/>
          <w:szCs w:val="28"/>
        </w:rPr>
        <w:t>（二）成绩综合评分体系：</w:t>
      </w:r>
      <w:r>
        <w:rPr>
          <w:rFonts w:eastAsia="宋体"/>
          <w:b/>
          <w:color w:val="FF0000"/>
          <w:sz w:val="28"/>
          <w:szCs w:val="28"/>
        </w:rPr>
        <w:t xml:space="preserve"> </w:t>
      </w:r>
    </w:p>
    <w:p>
      <w:pPr>
        <w:spacing w:line="400" w:lineRule="exact"/>
        <w:ind w:firstLine="420"/>
        <w:rPr>
          <w:rFonts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课程成绩由课上表现和实训成绩构成，课上表现以学生上课听讲情况、参与课堂互动情况、参与讨论情况等为依据，占比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0%。实训成绩根据作品的质量及技术专业知识掌握情况按标准评出成绩，占比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0%。</w:t>
      </w:r>
    </w:p>
    <w:tbl>
      <w:tblPr>
        <w:tblStyle w:val="5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45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成绩综合评分体系</w:t>
            </w:r>
          </w:p>
        </w:tc>
        <w:tc>
          <w:tcPr>
            <w:tcW w:w="2772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比例%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45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1.</w:t>
            </w:r>
            <w:r>
              <w:rPr>
                <w:rFonts w:hint="eastAsia" w:eastAsia="宋体"/>
                <w:sz w:val="28"/>
                <w:szCs w:val="28"/>
              </w:rPr>
              <w:t>课上出勤及互动</w:t>
            </w:r>
          </w:p>
        </w:tc>
        <w:tc>
          <w:tcPr>
            <w:tcW w:w="2772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45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>
              <w:rPr>
                <w:rFonts w:hint="eastAsia" w:eastAsia="宋体"/>
                <w:sz w:val="28"/>
                <w:szCs w:val="28"/>
              </w:rPr>
              <w:t>实训成绩</w:t>
            </w:r>
          </w:p>
        </w:tc>
        <w:tc>
          <w:tcPr>
            <w:tcW w:w="2772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45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总计</w:t>
            </w:r>
          </w:p>
        </w:tc>
        <w:tc>
          <w:tcPr>
            <w:tcW w:w="2772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100</w:t>
            </w:r>
          </w:p>
        </w:tc>
      </w:tr>
    </w:tbl>
    <w:p>
      <w:pPr>
        <w:spacing w:line="400" w:lineRule="exact"/>
        <w:ind w:firstLine="474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附：作业和平时表现评分标准</w:t>
      </w:r>
    </w:p>
    <w:p>
      <w:pPr>
        <w:spacing w:line="40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1）课堂讨论及平时表现评分标准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00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课堂讨论、平常表现评分标准</w:t>
            </w:r>
          </w:p>
        </w:tc>
        <w:tc>
          <w:tcPr>
            <w:tcW w:w="1346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700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1.资料的查阅、知识熟练运用，积极参与讨论、能阐明自己的观点和想法，能与其他同学合作、交流，共同解决问题。</w:t>
            </w:r>
          </w:p>
        </w:tc>
        <w:tc>
          <w:tcPr>
            <w:tcW w:w="1346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90-100分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</w:trPr>
        <w:tc>
          <w:tcPr>
            <w:tcW w:w="6700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2.基本做到资料的查阅、知识的运用，能参与讨论、能阐明自己的观点和想法，能与其他其他同学合作、交流，共同解决问题。</w:t>
            </w:r>
          </w:p>
        </w:tc>
        <w:tc>
          <w:tcPr>
            <w:tcW w:w="1346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70-90分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</w:trPr>
        <w:tc>
          <w:tcPr>
            <w:tcW w:w="6700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3.做到一些资料的查阅和知识的运用，参与讨论一般、不能阐明自己的观点和想法，与其他同学合作、交流，共同解决问题的能力态度一般。</w:t>
            </w:r>
          </w:p>
        </w:tc>
        <w:tc>
          <w:tcPr>
            <w:tcW w:w="1346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30-70分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6700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4.不能做到资料的查阅和知识的运用，不积极参与讨论，不能与其他同学合作、交流，共同解决问题。</w:t>
            </w:r>
          </w:p>
        </w:tc>
        <w:tc>
          <w:tcPr>
            <w:tcW w:w="1346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0-30分</w:t>
            </w:r>
          </w:p>
        </w:tc>
      </w:tr>
    </w:tbl>
    <w:p>
      <w:pPr>
        <w:spacing w:line="40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2）</w:t>
      </w:r>
      <w:r>
        <w:rPr>
          <w:rFonts w:hint="eastAsia" w:eastAsia="宋体"/>
          <w:sz w:val="28"/>
          <w:szCs w:val="28"/>
        </w:rPr>
        <w:t>实训考核</w:t>
      </w:r>
      <w:r>
        <w:rPr>
          <w:rFonts w:eastAsia="宋体"/>
          <w:sz w:val="28"/>
          <w:szCs w:val="28"/>
        </w:rPr>
        <w:t>的评分标准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93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作业的评分标准</w:t>
            </w:r>
          </w:p>
        </w:tc>
        <w:tc>
          <w:tcPr>
            <w:tcW w:w="1353" w:type="dxa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6693" w:type="dxa"/>
          </w:tcPr>
          <w:p>
            <w:pPr>
              <w:snapToGrid w:val="0"/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1.严格按照作业要求并及时完成，基本概念清晰，解决问题的方案正确、合理，能提出不同的解决问题方案。</w:t>
            </w:r>
          </w:p>
        </w:tc>
        <w:tc>
          <w:tcPr>
            <w:tcW w:w="1353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90-100分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693" w:type="dxa"/>
          </w:tcPr>
          <w:p>
            <w:pPr>
              <w:snapToGrid w:val="0"/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2.基本按照作业要求并及时完成，基本概念基本清晰，解决问题的方案基本正确、基本合理。</w:t>
            </w:r>
          </w:p>
        </w:tc>
        <w:tc>
          <w:tcPr>
            <w:tcW w:w="1353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70-90分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6693" w:type="dxa"/>
          </w:tcPr>
          <w:p>
            <w:pPr>
              <w:snapToGrid w:val="0"/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3.不能按照作业要求，未及时完成，基本概念不清晰，解决问题的方案基本不正确、基本不合理。</w:t>
            </w:r>
          </w:p>
        </w:tc>
        <w:tc>
          <w:tcPr>
            <w:tcW w:w="1353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50-70分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6693" w:type="dxa"/>
          </w:tcPr>
          <w:p>
            <w:pPr>
              <w:snapToGrid w:val="0"/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4.不能按照作业要求，未及时完成，基本概念不清晰，不能制定正确和合理解决问题的方案。</w:t>
            </w:r>
          </w:p>
        </w:tc>
        <w:tc>
          <w:tcPr>
            <w:tcW w:w="1353" w:type="dxa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0-50分</w:t>
            </w:r>
          </w:p>
        </w:tc>
      </w:tr>
    </w:tbl>
    <w:p>
      <w:pPr>
        <w:spacing w:line="400" w:lineRule="exact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七、学术诚信</w:t>
      </w:r>
    </w:p>
    <w:p>
      <w:pPr>
        <w:spacing w:line="400" w:lineRule="exact"/>
        <w:ind w:firstLine="560" w:firstLineChars="200"/>
        <w:rPr>
          <w:rFonts w:eastAsia="宋体"/>
          <w:b/>
          <w:sz w:val="28"/>
          <w:szCs w:val="28"/>
        </w:rPr>
      </w:pPr>
      <w:r>
        <w:rPr>
          <w:rFonts w:eastAsia="宋体" w:cs="宋体"/>
          <w:kern w:val="0"/>
          <w:sz w:val="28"/>
          <w:szCs w:val="28"/>
          <w:shd w:val="clear" w:color="auto" w:fill="FFFFFF"/>
        </w:rPr>
        <w:t>学习成果不能造假，如考试作弊、盗取他人学习成果、一份报告用于不同的课程等，均属造假行为。他人的想法、说法和意见如不注明出处按盗用论处。本课程如有发现上述不良行为，将按学校有关规定取消本课程的学习成绩。 </w:t>
      </w:r>
      <w:r>
        <w:rPr>
          <w:rFonts w:eastAsia="宋体" w:cs="宋体"/>
          <w:kern w:val="0"/>
          <w:sz w:val="28"/>
          <w:szCs w:val="28"/>
        </w:rPr>
        <w:br w:type="textWrapping"/>
      </w:r>
      <w:r>
        <w:rPr>
          <w:rFonts w:eastAsia="宋体"/>
          <w:b/>
          <w:sz w:val="28"/>
          <w:szCs w:val="28"/>
        </w:rPr>
        <w:t>八、大纲审核</w:t>
      </w:r>
    </w:p>
    <w:p>
      <w:pPr>
        <w:spacing w:line="400" w:lineRule="exact"/>
        <w:rPr>
          <w:rFonts w:eastAsia="宋体" w:cs="Tahoma"/>
          <w:b/>
          <w:color w:val="444444"/>
          <w:kern w:val="0"/>
          <w:sz w:val="28"/>
          <w:szCs w:val="28"/>
        </w:rPr>
      </w:pPr>
      <w:r>
        <w:rPr>
          <w:rFonts w:eastAsia="宋体"/>
          <w:sz w:val="28"/>
          <w:szCs w:val="28"/>
        </w:rPr>
        <w:t>教学院长：                               院学术委员会签章：</w:t>
      </w:r>
    </w:p>
    <w:p>
      <w:pPr>
        <w:spacing w:line="400" w:lineRule="exact"/>
        <w:rPr>
          <w:rFonts w:eastAsia="宋体" w:cs="Tahoma"/>
          <w:b/>
          <w:color w:val="444444"/>
          <w:kern w:val="0"/>
          <w:sz w:val="28"/>
          <w:szCs w:val="28"/>
        </w:rPr>
      </w:pPr>
    </w:p>
    <w:p>
      <w:pPr>
        <w:spacing w:line="400" w:lineRule="exact"/>
        <w:rPr>
          <w:rFonts w:eastAsia="宋体"/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sectPr>
      <w:footerReference r:id="rId3" w:type="default"/>
      <w:pgSz w:w="11906" w:h="16838"/>
      <w:pgMar w:top="1361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123297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3A"/>
    <w:rsid w:val="000A24E7"/>
    <w:rsid w:val="00125211"/>
    <w:rsid w:val="00165F4F"/>
    <w:rsid w:val="001B1029"/>
    <w:rsid w:val="001D47A1"/>
    <w:rsid w:val="001E3399"/>
    <w:rsid w:val="002703C2"/>
    <w:rsid w:val="00285894"/>
    <w:rsid w:val="002D1ADD"/>
    <w:rsid w:val="00343F3A"/>
    <w:rsid w:val="00372281"/>
    <w:rsid w:val="003866E9"/>
    <w:rsid w:val="003A6D1D"/>
    <w:rsid w:val="003B0A2A"/>
    <w:rsid w:val="003C1278"/>
    <w:rsid w:val="003E5FD3"/>
    <w:rsid w:val="0046286F"/>
    <w:rsid w:val="004D4503"/>
    <w:rsid w:val="00517D1B"/>
    <w:rsid w:val="00543FED"/>
    <w:rsid w:val="005762B2"/>
    <w:rsid w:val="00576A75"/>
    <w:rsid w:val="00584E69"/>
    <w:rsid w:val="005C54C2"/>
    <w:rsid w:val="0060202F"/>
    <w:rsid w:val="0065488F"/>
    <w:rsid w:val="006B3F66"/>
    <w:rsid w:val="006F5019"/>
    <w:rsid w:val="00703244"/>
    <w:rsid w:val="007277A4"/>
    <w:rsid w:val="0075435D"/>
    <w:rsid w:val="007878FE"/>
    <w:rsid w:val="007D61BA"/>
    <w:rsid w:val="007E5FFA"/>
    <w:rsid w:val="00864110"/>
    <w:rsid w:val="00866C3C"/>
    <w:rsid w:val="0087797A"/>
    <w:rsid w:val="008D1BAF"/>
    <w:rsid w:val="00922304"/>
    <w:rsid w:val="00925D5A"/>
    <w:rsid w:val="00966811"/>
    <w:rsid w:val="00973810"/>
    <w:rsid w:val="00977DF6"/>
    <w:rsid w:val="009816E1"/>
    <w:rsid w:val="00990AF5"/>
    <w:rsid w:val="009B2CBC"/>
    <w:rsid w:val="009E042B"/>
    <w:rsid w:val="00A0651E"/>
    <w:rsid w:val="00A06B80"/>
    <w:rsid w:val="00A40B94"/>
    <w:rsid w:val="00AE6BE2"/>
    <w:rsid w:val="00B93F92"/>
    <w:rsid w:val="00BB2755"/>
    <w:rsid w:val="00C34B07"/>
    <w:rsid w:val="00C63D66"/>
    <w:rsid w:val="00C7762D"/>
    <w:rsid w:val="00CA1B63"/>
    <w:rsid w:val="00D317EE"/>
    <w:rsid w:val="00D3541A"/>
    <w:rsid w:val="00D61200"/>
    <w:rsid w:val="00D7211B"/>
    <w:rsid w:val="00DB6B71"/>
    <w:rsid w:val="00DE7221"/>
    <w:rsid w:val="00E72CBA"/>
    <w:rsid w:val="00E73AA7"/>
    <w:rsid w:val="00E9385E"/>
    <w:rsid w:val="00EB1CB3"/>
    <w:rsid w:val="00EC4C20"/>
    <w:rsid w:val="00EE4BE6"/>
    <w:rsid w:val="00F36A09"/>
    <w:rsid w:val="00F80029"/>
    <w:rsid w:val="00F85486"/>
    <w:rsid w:val="56C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6AF12-65B5-4728-9CDF-0442040CF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2100</Words>
  <Characters>2212</Characters>
  <Lines>17</Lines>
  <Paragraphs>4</Paragraphs>
  <TotalTime>0</TotalTime>
  <ScaleCrop>false</ScaleCrop>
  <LinksUpToDate>false</LinksUpToDate>
  <CharactersWithSpaces>2270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2021-03-08T06:25:00Z</dcterms:created>
  <dc:creator>Wenjun Wang</dc:creator>
  <cp:lastModifiedBy>Administrator</cp:lastModifiedBy>
  <dcterms:modified xsi:type="dcterms:W3CDTF">2022-04-12T06:19:59Z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7E7E8A96438C4E499017C38896D0123A</vt:lpwstr>
  </property>
</Properties>
</file>