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" w:leftChars="-202" w:hanging="425" w:hangingChars="15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高校基层教学组织建设专题网络培训课程列表</w:t>
      </w:r>
    </w:p>
    <w:bookmarkEnd w:id="0"/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87"/>
        <w:gridCol w:w="920"/>
        <w:gridCol w:w="87"/>
        <w:gridCol w:w="2853"/>
        <w:gridCol w:w="87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课程列表</w:t>
            </w:r>
          </w:p>
        </w:tc>
        <w:tc>
          <w:tcPr>
            <w:tcW w:w="1007" w:type="dxa"/>
            <w:gridSpan w:val="2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2940" w:type="dxa"/>
            <w:gridSpan w:val="2"/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983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时长(分钟)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基层教学组织现状与问题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高校基层教学组织建设的时代背景和历史使命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司  莉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河南财经政法大学法学院教授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高校教研室的改革与发展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付八军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绍兴文理学院教师教育学院教授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大学基层教学组织的现状与问题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汤  智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浙江工业大学教务处副处长、教授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大学重建基层教学组织的必要性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汤  智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浙江工业大学教务处副处长、教授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基层教学组织的各种形式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陈庆章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浙江工业大学计算机科学与技术学院教授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基层教学组织建设方法与路径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新时代大学基层教学组织如何重建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汤  智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浙江工业大学教务处副处长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高校基层教学组织的基本定位和主要任务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司  莉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河南财经政法大学法学院教授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高校基层教学组织建设内容、路径和工作模式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司  莉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河南财经政法大学法学院教授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基层教学组织的功能和生命共同体构建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陈庆章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浙江工业大学计算机科学与技术学院教授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新时代高校教师党支部组织功能定位与职责任务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王三礼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武汉大学党委组织部副部长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基层教学组织关键事务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新时代教师队伍建设新策略</w:t>
            </w:r>
          </w:p>
        </w:tc>
        <w:tc>
          <w:tcPr>
            <w:tcW w:w="100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高书国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中国教育学会副秘书长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构建有效的研究方式，促进教师专业发展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傅树京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首都师范大学教育学院教授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国际视野下的高校教师教学发展变革与实践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王立科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上海交通大学教学发展中心主任助理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基层教学组织要着力于课程建设和有效管理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陈庆章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浙江工业大学计算机科学与技术学院教授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正确认识教学学术的内涵与本质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熊庆年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复旦大学高等教育研究所原所长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一流课程申报材料撰写与案例分享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余建波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上海交通大学慕课研究院院长助理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基层教学组织负责人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通用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领导力与团队建设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刘旭涛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中共中央党校（国家行政学院）公共管理教研部教授</w:t>
            </w:r>
          </w:p>
        </w:tc>
        <w:tc>
          <w:tcPr>
            <w:tcW w:w="1070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执行力提升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张国玉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原中共中央党校（国家行政学院）政治学教研部教授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沟通艺术</w:t>
            </w:r>
          </w:p>
        </w:tc>
        <w:tc>
          <w:tcPr>
            <w:tcW w:w="100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姚小玲</w:t>
            </w:r>
          </w:p>
        </w:tc>
        <w:tc>
          <w:tcPr>
            <w:tcW w:w="294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北京航空航天大学人文社会科学学院教授</w:t>
            </w:r>
          </w:p>
        </w:tc>
        <w:tc>
          <w:tcPr>
            <w:tcW w:w="107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人际关系的建立与调适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樊富珉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清华大学积极心理学研究中心主任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压力管理与心理健康促进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樊富珉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清华大学积极心理学研究中心主任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培养体系改革与教学研究创新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高校金课建设的顶层设计——人才培养体系和课程地图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戚世梁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西安欧亚学院校级高级顾问、首席培训师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基于OBE理念的人才培养体系建设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孙建荣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澳门科技大学协理副校长、教授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面向应用型人才培养的学科、专业和课程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叶飞帆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宁波大学高等教育研究所教授</w:t>
            </w:r>
          </w:p>
        </w:tc>
        <w:tc>
          <w:tcPr>
            <w:tcW w:w="107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正确认识教学学术的内涵与本质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熊庆年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复旦大学高等教育研究所原所长</w:t>
            </w:r>
          </w:p>
        </w:tc>
        <w:tc>
          <w:tcPr>
            <w:tcW w:w="107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教学学术研究的选题申请与应用实践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于歆杰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清华大学电机系教授</w:t>
            </w:r>
          </w:p>
        </w:tc>
        <w:tc>
          <w:tcPr>
            <w:tcW w:w="107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国家级教学成果奖的透析与培育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邱化民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北京师范大学教育学部学生办主任</w:t>
            </w:r>
          </w:p>
        </w:tc>
        <w:tc>
          <w:tcPr>
            <w:tcW w:w="107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教学成果奖凝练体会与案例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陆国栋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浙江大学机器人研究院常务副院长、教授</w:t>
            </w:r>
          </w:p>
        </w:tc>
        <w:tc>
          <w:tcPr>
            <w:tcW w:w="107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</w:tbl>
    <w:p>
      <w:pPr>
        <w:spacing w:before="156" w:beforeLines="50"/>
        <w:jc w:val="lef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b/>
        </w:rPr>
        <w:t>注：</w:t>
      </w:r>
      <w:r>
        <w:rPr>
          <w:rFonts w:ascii="Times New Roman" w:hAnsi="Times New Roman" w:eastAsia="仿宋" w:cs="Times New Roman"/>
          <w:bCs/>
        </w:rPr>
        <w:t>1.</w:t>
      </w:r>
      <w:r>
        <w:rPr>
          <w:rFonts w:ascii="Times New Roman" w:hAnsi="Times New Roman" w:eastAsia="仿宋" w:cs="Times New Roman"/>
        </w:rPr>
        <w:t>个别课程或稍有调整，请以平台最终发布课程为准；</w:t>
      </w:r>
    </w:p>
    <w:p>
      <w:pPr>
        <w:jc w:val="lef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   2.课程主讲人职务为课程录制时的职务。</w:t>
      </w:r>
    </w:p>
    <w:p>
      <w:pPr>
        <w:spacing w:line="360" w:lineRule="auto"/>
        <w:rPr>
          <w:rFonts w:ascii="Times New Roman" w:hAnsi="Times New Roman" w:eastAsia="仿宋" w:cs="Times New Roman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90EDB"/>
    <w:rsid w:val="56390EDB"/>
    <w:rsid w:val="7476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2021-11-15T03:24:00Z</dcterms:created>
  <dc:creator>Real Madrid</dc:creator>
  <cp:lastModifiedBy>Real Madrid</cp:lastModifiedBy>
  <dcterms:modified xsi:type="dcterms:W3CDTF">2021-11-15T03:24:35Z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3EE0796255A24347813A2C3920562A49</vt:lpwstr>
  </property>
</Properties>
</file>